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ZK-PU/03/06/2019</w:t>
      </w:r>
    </w:p>
    <w:p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Hlk498970923"/>
    </w:p>
    <w:p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:rsidR="00CF4705" w:rsidRPr="00CF4705" w:rsidRDefault="00CF4705" w:rsidP="00CF47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(PO ZMIANACH I DOPRECYZOWNIU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dniu 2</w:t>
      </w:r>
      <w:r w:rsidR="00AA5E2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>.06.2019</w:t>
      </w: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F4705" w:rsidRPr="00742192" w:rsidRDefault="00CF4705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Zakład Gospodarki Wodno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Wodno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1"/>
    <w:p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prod.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Urządzenie załadowcze dla komory za kabiną przystosowane do opróżniania pojemników  od 120 l do 660 litrów.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 xml:space="preserve">grubość stali </w:t>
      </w:r>
      <w:r w:rsidRPr="00AA5E2A">
        <w:rPr>
          <w:rFonts w:ascii="Times New Roman" w:hAnsi="Times New Roman" w:cs="Times New Roman"/>
          <w:sz w:val="20"/>
          <w:szCs w:val="20"/>
          <w:highlight w:val="yellow"/>
        </w:rPr>
        <w:t xml:space="preserve">minimum </w:t>
      </w:r>
      <w:r w:rsidR="00AA5E2A" w:rsidRPr="00AA5E2A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AA5E2A">
        <w:rPr>
          <w:rFonts w:ascii="Times New Roman" w:hAnsi="Times New Roman" w:cs="Times New Roman"/>
          <w:sz w:val="20"/>
          <w:szCs w:val="20"/>
          <w:highlight w:val="yellow"/>
        </w:rPr>
        <w:t xml:space="preserve"> mm</w:t>
      </w:r>
    </w:p>
    <w:p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</w:p>
    <w:p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wrzutnika</w:t>
      </w:r>
    </w:p>
    <w:p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górnym położeniu wrzutnika i jego pracy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wysuniętej ścianie w zabudowie pojazdu     </w:t>
      </w:r>
    </w:p>
    <w:p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Konfiguracja osi 6 x 2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minimum </w:t>
      </w:r>
      <w:r w:rsidR="00CD31D2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97054A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8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00 ÷ 4</w:t>
      </w:r>
      <w:r w:rsidR="000025CD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>00 mm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AdBlue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:rsidR="005A43C0" w:rsidRPr="00F91D7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Common-Rail o pojemności skokowej mieszczący się w przedziale 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7,</w:t>
      </w:r>
      <w:r w:rsidR="0065251B" w:rsidRPr="000025CD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CD31D2" w:rsidRPr="000025CD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>00 Nm</w:t>
      </w:r>
    </w:p>
    <w:p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Zautomatyzowanna skrzynia biegów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1D3749" w:rsidRPr="001D3749" w:rsidRDefault="005A43C0" w:rsidP="001D37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D013D1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D013D1" w:rsidRPr="003506D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D013D1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zwalniacz opierający działanie na turbosprężarce ze zmienną geometrią oraz zaworze zwrotnym ciśnienia znajdującym się w układzie wydechowym</w:t>
      </w:r>
      <w:r w:rsidR="001D3749" w:rsidRPr="001D3749">
        <w:rPr>
          <w:rFonts w:ascii="Times New Roman" w:hAnsi="Times New Roman" w:cs="Times New Roman"/>
          <w:sz w:val="20"/>
          <w:szCs w:val="20"/>
        </w:rPr>
        <w:t>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Mechaniczna roleta przeciwsłoneczna przedniej szyby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94468F">
        <w:rPr>
          <w:rFonts w:ascii="Times New Roman" w:hAnsi="Times New Roman" w:cs="Times New Roman"/>
          <w:sz w:val="20"/>
          <w:szCs w:val="20"/>
          <w:highlight w:val="yellow"/>
        </w:rPr>
        <w:t>lub blendy/klapy przeciwsłoneczne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94468F">
        <w:rPr>
          <w:rFonts w:ascii="Times New Roman" w:hAnsi="Times New Roman" w:cs="Times New Roman"/>
          <w:sz w:val="20"/>
          <w:szCs w:val="20"/>
          <w:highlight w:val="yellow"/>
        </w:rPr>
        <w:t>przedniej szyby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 xml:space="preserve">24 m-cy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lastRenderedPageBreak/>
        <w:t>dokumenty potwierdzające dopuszczenie jednostkowe oraz badania UDT,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02" w:rsidRDefault="00C42002" w:rsidP="00FF7C24">
      <w:pPr>
        <w:spacing w:after="0" w:line="240" w:lineRule="auto"/>
      </w:pPr>
      <w:r>
        <w:separator/>
      </w:r>
    </w:p>
  </w:endnote>
  <w:endnote w:type="continuationSeparator" w:id="0">
    <w:p w:rsidR="00C42002" w:rsidRDefault="00C42002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02" w:rsidRDefault="00C42002" w:rsidP="00FF7C24">
      <w:pPr>
        <w:spacing w:after="0" w:line="240" w:lineRule="auto"/>
      </w:pPr>
      <w:r>
        <w:separator/>
      </w:r>
    </w:p>
  </w:footnote>
  <w:footnote w:type="continuationSeparator" w:id="0">
    <w:p w:rsidR="00C42002" w:rsidRDefault="00C42002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25CD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D4E0E"/>
    <w:rsid w:val="000E365E"/>
    <w:rsid w:val="000F37C5"/>
    <w:rsid w:val="000F6F96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3749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5A3F"/>
    <w:rsid w:val="003506D4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17015"/>
    <w:rsid w:val="00540138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64D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D28F0"/>
    <w:rsid w:val="007E5F73"/>
    <w:rsid w:val="0080138E"/>
    <w:rsid w:val="008071F9"/>
    <w:rsid w:val="00812B2B"/>
    <w:rsid w:val="00812D54"/>
    <w:rsid w:val="00813D3B"/>
    <w:rsid w:val="008249C9"/>
    <w:rsid w:val="00841D18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4468F"/>
    <w:rsid w:val="00957A29"/>
    <w:rsid w:val="00962298"/>
    <w:rsid w:val="00965607"/>
    <w:rsid w:val="0097054A"/>
    <w:rsid w:val="009973C8"/>
    <w:rsid w:val="009A3933"/>
    <w:rsid w:val="009A3F51"/>
    <w:rsid w:val="009C099A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35BF9"/>
    <w:rsid w:val="00A4391C"/>
    <w:rsid w:val="00A46D3E"/>
    <w:rsid w:val="00A528B0"/>
    <w:rsid w:val="00A57A9B"/>
    <w:rsid w:val="00A60720"/>
    <w:rsid w:val="00A63086"/>
    <w:rsid w:val="00A828BE"/>
    <w:rsid w:val="00A856F0"/>
    <w:rsid w:val="00AA5E2A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42002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31D2"/>
    <w:rsid w:val="00CE2AFE"/>
    <w:rsid w:val="00CE5E2C"/>
    <w:rsid w:val="00CE69A3"/>
    <w:rsid w:val="00CF28EF"/>
    <w:rsid w:val="00CF4705"/>
    <w:rsid w:val="00CF7AF6"/>
    <w:rsid w:val="00D013D1"/>
    <w:rsid w:val="00D034A1"/>
    <w:rsid w:val="00D110DD"/>
    <w:rsid w:val="00D16550"/>
    <w:rsid w:val="00D169C1"/>
    <w:rsid w:val="00D179B4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73302"/>
    <w:rsid w:val="00D93182"/>
    <w:rsid w:val="00D93F41"/>
    <w:rsid w:val="00D951E3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055B5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36F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344E-ECEB-4ED3-987E-8D89536A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2019-05-09T06:46:00Z</cp:lastPrinted>
  <dcterms:created xsi:type="dcterms:W3CDTF">2019-06-28T08:01:00Z</dcterms:created>
  <dcterms:modified xsi:type="dcterms:W3CDTF">2019-06-28T08:01:00Z</dcterms:modified>
</cp:coreProperties>
</file>