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BE" w:rsidRPr="00D67FD1" w:rsidRDefault="00F50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Nr referencyjny</w:t>
      </w:r>
      <w:r w:rsidRPr="00D67FD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67FD1">
        <w:rPr>
          <w:rFonts w:ascii="Times New Roman" w:hAnsi="Times New Roman" w:cs="Times New Roman"/>
          <w:b/>
          <w:sz w:val="20"/>
          <w:szCs w:val="20"/>
        </w:rPr>
        <w:t>ZK-PU/01/0</w:t>
      </w:r>
      <w:r w:rsidR="005500F3">
        <w:rPr>
          <w:rFonts w:ascii="Times New Roman" w:hAnsi="Times New Roman" w:cs="Times New Roman"/>
          <w:b/>
          <w:sz w:val="20"/>
          <w:szCs w:val="20"/>
        </w:rPr>
        <w:t>1</w:t>
      </w:r>
      <w:r w:rsidRPr="00D67FD1">
        <w:rPr>
          <w:rFonts w:ascii="Times New Roman" w:hAnsi="Times New Roman" w:cs="Times New Roman"/>
          <w:b/>
          <w:sz w:val="20"/>
          <w:szCs w:val="20"/>
        </w:rPr>
        <w:t>/20</w:t>
      </w:r>
      <w:r w:rsidR="005500F3">
        <w:rPr>
          <w:rFonts w:ascii="Times New Roman" w:hAnsi="Times New Roman" w:cs="Times New Roman"/>
          <w:b/>
          <w:sz w:val="20"/>
          <w:szCs w:val="20"/>
        </w:rPr>
        <w:t>20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8291D" w:rsidRPr="00D67FD1" w:rsidRDefault="00B146BE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ZAŁ</w:t>
      </w:r>
      <w:r w:rsidR="00221170" w:rsidRPr="00D67FD1">
        <w:rPr>
          <w:rFonts w:ascii="Times New Roman" w:hAnsi="Times New Roman" w:cs="Times New Roman"/>
          <w:b/>
          <w:sz w:val="20"/>
          <w:szCs w:val="20"/>
        </w:rPr>
        <w:t>Ą</w:t>
      </w:r>
      <w:r w:rsidR="00F506BE" w:rsidRPr="00D67FD1">
        <w:rPr>
          <w:rFonts w:ascii="Times New Roman" w:hAnsi="Times New Roman" w:cs="Times New Roman"/>
          <w:b/>
          <w:sz w:val="20"/>
          <w:szCs w:val="20"/>
        </w:rPr>
        <w:t>CZNIK NR 4</w:t>
      </w:r>
      <w:r w:rsidRPr="00D67FD1">
        <w:rPr>
          <w:rFonts w:ascii="Times New Roman" w:hAnsi="Times New Roman" w:cs="Times New Roman"/>
          <w:b/>
          <w:sz w:val="20"/>
          <w:szCs w:val="20"/>
        </w:rPr>
        <w:t xml:space="preserve"> DO II CZĘŚCI SIWZ</w:t>
      </w:r>
    </w:p>
    <w:p w:rsidR="00CF28EF" w:rsidRPr="00D67FD1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498970923"/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OPIS PRZEDMIOTU ZAMÓWIENIA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5F0D" w:rsidRDefault="006E65A8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z</w:t>
      </w:r>
      <w:r w:rsidR="00865F0D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adani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</w:t>
      </w:r>
      <w:r w:rsidR="00865F0D" w:rsidRPr="00D67F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 „Dostawa specjalistycznych pojazdów do odbioru odpadów”</w:t>
      </w:r>
      <w:r w:rsidR="00FB48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65F0D" w:rsidRPr="00D67FD1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7FD1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Zakład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Kanalizacyjnej Sp. z o.o.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 xml:space="preserve">97-200 Tomaszów Mazowiecki 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ul. Kępa 19</w:t>
      </w:r>
    </w:p>
    <w:p w:rsidR="0063315A" w:rsidRPr="00D67FD1" w:rsidRDefault="0063315A" w:rsidP="0063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tel./fax 044 - 724- 22- 92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NIP PL 773-21-71-153 REGON 590761733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KRS: 0000125241 Sąd Rejonowy dla Łodzi Śródmieścia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XX Wydział KRS</w:t>
      </w: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5A" w:rsidRPr="00D67FD1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FD1"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 w:rsidRPr="00D67FD1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 dostawa</w:t>
      </w:r>
      <w:r w:rsidR="006E65A8">
        <w:rPr>
          <w:rFonts w:ascii="Times New Roman" w:hAnsi="Times New Roman" w:cs="Times New Roman"/>
          <w:sz w:val="20"/>
          <w:szCs w:val="20"/>
        </w:rPr>
        <w:t>, w ramach przedmiotowego zadania,</w:t>
      </w:r>
      <w:r w:rsidRPr="00D67FD1">
        <w:rPr>
          <w:rFonts w:ascii="Times New Roman" w:hAnsi="Times New Roman" w:cs="Times New Roman"/>
          <w:sz w:val="20"/>
          <w:szCs w:val="20"/>
        </w:rPr>
        <w:t xml:space="preserve"> pojazdów specjalistycznych typu </w:t>
      </w:r>
      <w:r w:rsidR="006E65A8" w:rsidRPr="006E65A8">
        <w:rPr>
          <w:rFonts w:ascii="Times New Roman" w:hAnsi="Times New Roman" w:cs="Times New Roman"/>
          <w:sz w:val="20"/>
          <w:szCs w:val="20"/>
        </w:rPr>
        <w:t>śmieciark</w:t>
      </w:r>
      <w:r w:rsidR="006E65A8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jednokomorow</w:t>
      </w:r>
      <w:r w:rsidR="006E65A8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trzyosiow</w:t>
      </w:r>
      <w:r w:rsidR="006E65A8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przystosowan</w:t>
      </w:r>
      <w:r w:rsidR="006E65A8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do odbioru odpadów wielkogabarytowych</w:t>
      </w:r>
      <w:r w:rsidR="006E65A8">
        <w:rPr>
          <w:rFonts w:ascii="Times New Roman" w:hAnsi="Times New Roman" w:cs="Times New Roman"/>
          <w:sz w:val="20"/>
          <w:szCs w:val="20"/>
        </w:rPr>
        <w:t xml:space="preserve"> </w:t>
      </w:r>
      <w:r w:rsidRPr="00D67FD1">
        <w:rPr>
          <w:rFonts w:ascii="Times New Roman" w:hAnsi="Times New Roman" w:cs="Times New Roman"/>
          <w:sz w:val="20"/>
          <w:szCs w:val="20"/>
        </w:rPr>
        <w:t xml:space="preserve">oraz </w:t>
      </w:r>
      <w:r w:rsidR="006E65A8" w:rsidRPr="006E65A8">
        <w:rPr>
          <w:rFonts w:ascii="Times New Roman" w:hAnsi="Times New Roman" w:cs="Times New Roman"/>
          <w:sz w:val="20"/>
          <w:szCs w:val="20"/>
        </w:rPr>
        <w:t>śmieciark</w:t>
      </w:r>
      <w:r w:rsidR="00AF6264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dwukomorow</w:t>
      </w:r>
      <w:r w:rsidR="00AF6264">
        <w:rPr>
          <w:rFonts w:ascii="Times New Roman" w:hAnsi="Times New Roman" w:cs="Times New Roman"/>
          <w:sz w:val="20"/>
          <w:szCs w:val="20"/>
        </w:rPr>
        <w:t>a</w:t>
      </w:r>
      <w:r w:rsidR="006E65A8" w:rsidRPr="006E65A8">
        <w:rPr>
          <w:rFonts w:ascii="Times New Roman" w:hAnsi="Times New Roman" w:cs="Times New Roman"/>
          <w:sz w:val="20"/>
          <w:szCs w:val="20"/>
        </w:rPr>
        <w:t xml:space="preserve"> trzyosiow</w:t>
      </w:r>
      <w:r w:rsidR="00AF6264">
        <w:rPr>
          <w:rFonts w:ascii="Times New Roman" w:hAnsi="Times New Roman" w:cs="Times New Roman"/>
          <w:sz w:val="20"/>
          <w:szCs w:val="20"/>
        </w:rPr>
        <w:t>a</w:t>
      </w:r>
      <w:r w:rsidR="006E65A8">
        <w:rPr>
          <w:rFonts w:ascii="Times New Roman" w:hAnsi="Times New Roman" w:cs="Times New Roman"/>
          <w:sz w:val="20"/>
          <w:szCs w:val="20"/>
        </w:rPr>
        <w:t>,</w:t>
      </w:r>
      <w:r w:rsidRPr="00D67FD1">
        <w:rPr>
          <w:rFonts w:ascii="Times New Roman" w:hAnsi="Times New Roman" w:cs="Times New Roman"/>
          <w:sz w:val="20"/>
          <w:szCs w:val="20"/>
        </w:rPr>
        <w:t xml:space="preserve"> na potrzeby Zakładu Gospodarki </w:t>
      </w:r>
      <w:proofErr w:type="spellStart"/>
      <w:r w:rsidRPr="00D67FD1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D67FD1">
        <w:rPr>
          <w:rFonts w:ascii="Times New Roman" w:hAnsi="Times New Roman" w:cs="Times New Roman"/>
          <w:sz w:val="20"/>
          <w:szCs w:val="20"/>
        </w:rPr>
        <w:t xml:space="preserve"> – Kanalizacyjnego w Tomaszowie Mazowieckim</w:t>
      </w:r>
      <w:r w:rsidR="006E65A8">
        <w:rPr>
          <w:rFonts w:ascii="Times New Roman" w:hAnsi="Times New Roman" w:cs="Times New Roman"/>
          <w:sz w:val="20"/>
          <w:szCs w:val="20"/>
        </w:rPr>
        <w:t xml:space="preserve"> Sp. z o.o.</w:t>
      </w:r>
      <w:r w:rsidRPr="00D67FD1">
        <w:rPr>
          <w:rFonts w:ascii="Times New Roman" w:hAnsi="Times New Roman" w:cs="Times New Roman"/>
          <w:sz w:val="20"/>
          <w:szCs w:val="20"/>
        </w:rPr>
        <w:t>, zgodnie z poniższą specyfikacją techniczną</w:t>
      </w:r>
      <w:r w:rsidR="00853AA1" w:rsidRPr="00D67FD1">
        <w:rPr>
          <w:rFonts w:ascii="Times New Roman" w:hAnsi="Times New Roman" w:cs="Times New Roman"/>
          <w:sz w:val="20"/>
          <w:szCs w:val="20"/>
        </w:rPr>
        <w:t>.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Wszystkie oferowane pojazdy powinny być wyposażone zgodnie z wymogami: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§ 5 ust.1 Rozporządzenia Ministra Środowiska, w zakresie wymagań technicznych dotyczących wyposażenia pojazdów należy zapewnić, aby: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konstrukcja pojazdów zabezpieczała przed rozwiewaniem i rozpylaniem przewożonych odpadów oraz minimalizowała oddziaływanie czynników atmosferycznych na odpady;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pojazdy były wyposażone w system: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monitoringu bazującego na systemie pozycjonowania satelitarnego, umożliwiający trwałe zapisywanie, przechowywanie i odczytywanie danych o położeniu pojazdu i miejscach postojów oraz </w:t>
      </w:r>
    </w:p>
    <w:p w:rsidR="00A0166B" w:rsidRPr="00D67FD1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czujników zapisujących dane o miejscach wyładunku odpadów </w:t>
      </w:r>
    </w:p>
    <w:p w:rsidR="00A0166B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7FD1">
        <w:rPr>
          <w:rFonts w:ascii="Times New Roman" w:eastAsia="Times New Roman" w:hAnsi="Times New Roman" w:cs="Times New Roman"/>
          <w:sz w:val="20"/>
          <w:szCs w:val="20"/>
          <w:lang w:eastAsia="pl-PL"/>
        </w:rPr>
        <w:t>– umożliwiający weryfikację tych danych.</w:t>
      </w:r>
    </w:p>
    <w:p w:rsidR="009145A2" w:rsidRDefault="009145A2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  <w:bookmarkStart w:id="1" w:name="_Hlk29891537"/>
      <w:r w:rsidRPr="00765C11">
        <w:rPr>
          <w:rFonts w:ascii="Calibri" w:hAnsi="Calibri"/>
          <w:b/>
          <w:bCs/>
        </w:rPr>
        <w:t>Śmieciarka jednokomorowa trzyosiowa przystosowana do odbioru odpadów wielkogabarytowych</w:t>
      </w:r>
      <w:bookmarkEnd w:id="1"/>
      <w:r w:rsidRPr="00765C11">
        <w:rPr>
          <w:rFonts w:ascii="Calibri" w:hAnsi="Calibri"/>
          <w:b/>
          <w:bCs/>
        </w:rPr>
        <w:t xml:space="preserve"> -Szczegółowy opis przedmiotu zamówienia:</w:t>
      </w: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1. Podwozie:</w:t>
      </w:r>
    </w:p>
    <w:tbl>
      <w:tblPr>
        <w:tblStyle w:val="Tabela-Siatka5"/>
        <w:tblW w:w="5000" w:type="pct"/>
        <w:tblLook w:val="04A0" w:firstRow="1" w:lastRow="0" w:firstColumn="1" w:lastColumn="0" w:noHBand="0" w:noVBand="1"/>
      </w:tblPr>
      <w:tblGrid>
        <w:gridCol w:w="986"/>
        <w:gridCol w:w="8076"/>
      </w:tblGrid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spacing w:line="360" w:lineRule="auto"/>
              <w:contextualSpacing/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  <w:r w:rsidRPr="008761D9">
              <w:rPr>
                <w:rFonts w:eastAsiaTheme="minorEastAsia" w:cstheme="minorHAnsi"/>
                <w:color w:val="000000" w:themeColor="text1"/>
                <w:sz w:val="24"/>
              </w:rPr>
              <w:t>L.p.</w:t>
            </w: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line="360" w:lineRule="auto"/>
              <w:contextualSpacing/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  <w:r w:rsidRPr="008761D9">
              <w:rPr>
                <w:rFonts w:eastAsiaTheme="minorEastAsia" w:cstheme="minorHAnsi"/>
                <w:color w:val="000000" w:themeColor="text1"/>
                <w:sz w:val="24"/>
              </w:rPr>
              <w:t>Parametr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contextualSpacing/>
              <w:rPr>
                <w:rFonts w:eastAsiaTheme="minorEastAsia" w:cstheme="minorHAnsi"/>
                <w:color w:val="000000" w:themeColor="text1"/>
              </w:rPr>
            </w:pPr>
            <w:r w:rsidRPr="008761D9">
              <w:rPr>
                <w:rFonts w:eastAsiaTheme="minorEastAsia" w:cstheme="minorHAnsi"/>
                <w:color w:val="000000" w:themeColor="text1"/>
              </w:rPr>
              <w:t>Podwozie fabrycznie nowe rok produkcji - 2020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contextualSpacing/>
              <w:rPr>
                <w:rFonts w:eastAsiaTheme="minorEastAsia" w:cstheme="minorHAnsi"/>
                <w:color w:val="000000" w:themeColor="text1"/>
              </w:rPr>
            </w:pPr>
            <w:r w:rsidRPr="008761D9">
              <w:rPr>
                <w:rFonts w:eastAsiaTheme="minorEastAsia" w:cstheme="minorHAnsi"/>
                <w:color w:val="000000" w:themeColor="text1"/>
              </w:rPr>
              <w:t>Dopuszczalna masa całkowita – minimum 26 ton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Dopuszczalna ładowność - minimum 9 ton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Rozstaw osi między pierwszą a drugą 3600 ÷ 4000 mm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Zbiornik paliwa minimum 210 litrów z zamykanym korkiem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Zbiornik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AdBlue</w:t>
            </w:r>
            <w:proofErr w:type="spellEnd"/>
            <w:r w:rsidRPr="008761D9">
              <w:rPr>
                <w:rFonts w:cstheme="minorHAnsi"/>
                <w:color w:val="000000" w:themeColor="text1"/>
              </w:rPr>
              <w:t xml:space="preserve"> minimum 30 litrów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Norma emisji spalin: EURO 6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Silnik wysokoprężny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Common-Rail</w:t>
            </w:r>
            <w:proofErr w:type="spellEnd"/>
            <w:r w:rsidRPr="008761D9">
              <w:rPr>
                <w:rFonts w:cstheme="minorHAnsi"/>
                <w:color w:val="000000" w:themeColor="text1"/>
              </w:rPr>
              <w:t xml:space="preserve"> o pojemności skokowej mieszczący się w przedziale 7,6 – 11,0 litra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Moc silnika min. 300 KM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Maksymalny moment obrotowy silnika - minimum 1200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Nm</w:t>
            </w:r>
            <w:proofErr w:type="spellEnd"/>
            <w:r w:rsidRPr="008761D9">
              <w:rPr>
                <w:rFonts w:cstheme="minorHAnsi"/>
                <w:color w:val="000000" w:themeColor="text1"/>
              </w:rPr>
              <w:t xml:space="preserve"> max 1800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Nm</w:t>
            </w:r>
            <w:proofErr w:type="spellEnd"/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System oczyszczania spalin SCR, DPF z EGR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Elektroniczne ograniczenie prędkości do 90 km/h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Zautomatyzowana skrzynia biegów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Filtr paliwa podgrzewany z separatorem wody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Przednie zawieszenie- resory paraboliczne - minimum 8 ton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Stabilizator osi przedniej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Nośność osi wleczonej/pchanej - minimum 7,5 tony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Nośność tylnego zawieszenia – minimum 18 ton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Oś tylna wleczona, skrętna i odciążana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Blokada mechanizmu różnicowego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Zawieszenie pneumatyczne z 3 poziomami do jazdy lub jeden poziom do jazdy przy prędkości przekraczającej 30 km/h.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Koła 22,5 z oponami 315/80Rlub z oponami 295/80R lub 305/70R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Hamulec osi przedniej i tylnej - tarczowy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Układ hamulcowy z systemem ABS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System ASR i ESP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Asystent utrzymywania pojazdu na zadanym pasie ruchu lub system ostrzegania o opuszczeniu pasa ruchu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Hamulec silnikowy lub zwalniacz opierający działanie na turbosprężarce ze zmienną geometrią oraz zaworze zwrotnym ciśnienia znajdującym się w układzie wydechowym.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Oświetlenie zgodne z obowiązującymi przepisami o ruchu drogowym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Światła do jazdy dziennej LED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Tempomat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Komputer pokładowy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Gniazdo 12V + 24 V na desce rozdzielczej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Przystawka odbioru mocy spełniająca wymagania zabudowy śmieciarki / przystawka od silnikowa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Układ kierowniczy ze wspomaganiem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Koło kierownicy z regulowaną wysokością i pochyleniem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Fabryczny immobiliser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Akumulatory 12V min. 170Ah - 2 szt. (niewymagające konserwacji)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Klimatyzacja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Ogrzewanie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Centralny zamek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Elektrycznie sterowane szyby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Skalibrowany tachograf cyfrowy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Radio wraz z odtwarzaczem CD lub ze złączem USB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Wyposażenie w standardowe anteny: AM/FM, GSM i GPS oraz dodatkową antenę CB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Ogrzewane i elektrycznie regulowane lusterka wsteczne zgodnie</w:t>
            </w:r>
            <w:r w:rsidRPr="008761D9">
              <w:rPr>
                <w:rFonts w:cstheme="minorHAnsi"/>
                <w:color w:val="000000" w:themeColor="text1"/>
              </w:rPr>
              <w:br/>
              <w:t>z obowiązującymi przepisami o ruchu drogowym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Lusterko krawężnikowe prawe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Siedzenie kierowcy z zawieszeniem pneumatycznym, podgrzewane z regulacją odcinka lędźwiowego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Kabina dzienna, kolor biały RAL 9010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Ilość miejsc w kabinie 3 miejsca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Pokrowce na wszystkie siedzenia 2 komplety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Mechaniczna roleta przeciwsłoneczna przedniej szyby lub zewnętrzna przyciemniona osłona przeciwsłoneczna przedniej szyby, oraz odchylanych przysłon dla kierowcy i pasażera wewnątrz pojazdu lub uchylna osłona/klapek przeciwsłonecznych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Szyba przednia przyciemniona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Kliny zabezpieczające umieszczane pod kołami pojazdu min. 2 szt.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Gaśnica – 2 szt.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Trójkąt ostrzegawczy – 2 szt.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Gumowe dywaniki podłogowe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Apteczka pierwszej pomocy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Kompletny zestaw kluczy naprawczych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Pełnowymiarowe koło zapasowe i lewarek hydrauliczny dostosowany do pojazdu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Wąż do pompowania kół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Dwa sygnały ostrzegawcze przy cofaniu:</w:t>
            </w:r>
          </w:p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-sygnał dźwiękowy</w:t>
            </w:r>
          </w:p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-świetlna sygnalizacja cofania</w:t>
            </w:r>
          </w:p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- podłączenie do świateł roboczych zabudowy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Kabina kierowcy wyposażona w zabezpieczenie mechaniczne przed jej opadnięciem lub system podnoszenia i opuszczania kabiny za pomocą pompy hydraulicznej z zaworem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Pojazd wyposażony w listwę świetlną ostrzegawczą na dachu kabiny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jc w:val="both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Osłony na lampy zabezpieczające przed uszkodzeniami mechanicznymi</w:t>
            </w:r>
          </w:p>
        </w:tc>
      </w:tr>
    </w:tbl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Zabudowa:</w:t>
      </w:r>
    </w:p>
    <w:tbl>
      <w:tblPr>
        <w:tblStyle w:val="Tabela-Siatka6"/>
        <w:tblW w:w="5000" w:type="pct"/>
        <w:tblLook w:val="04A0" w:firstRow="1" w:lastRow="0" w:firstColumn="1" w:lastColumn="0" w:noHBand="0" w:noVBand="1"/>
      </w:tblPr>
      <w:tblGrid>
        <w:gridCol w:w="986"/>
        <w:gridCol w:w="8076"/>
      </w:tblGrid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spacing w:after="160" w:line="360" w:lineRule="auto"/>
              <w:contextualSpacing/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  <w:r w:rsidRPr="008761D9">
              <w:rPr>
                <w:rFonts w:eastAsiaTheme="minorEastAsia" w:cstheme="minorHAnsi"/>
                <w:color w:val="000000" w:themeColor="text1"/>
                <w:sz w:val="24"/>
              </w:rPr>
              <w:t>L.p.</w:t>
            </w: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360" w:lineRule="auto"/>
              <w:contextualSpacing/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  <w:r w:rsidRPr="008761D9">
              <w:rPr>
                <w:rFonts w:eastAsiaTheme="minorEastAsia" w:cstheme="minorHAnsi"/>
                <w:color w:val="000000" w:themeColor="text1"/>
                <w:sz w:val="24"/>
              </w:rPr>
              <w:t>Parametr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contextualSpacing/>
              <w:rPr>
                <w:rFonts w:eastAsiaTheme="minorEastAsia" w:cstheme="minorHAnsi"/>
                <w:color w:val="000000" w:themeColor="text1"/>
              </w:rPr>
            </w:pPr>
            <w:r w:rsidRPr="008761D9">
              <w:rPr>
                <w:rFonts w:eastAsiaTheme="minorEastAsia" w:cstheme="minorHAnsi"/>
                <w:color w:val="000000" w:themeColor="text1"/>
              </w:rPr>
              <w:t xml:space="preserve">Zabudowa fabrycznie nowa bezpylna rok </w:t>
            </w:r>
            <w:proofErr w:type="spellStart"/>
            <w:r w:rsidRPr="008761D9">
              <w:rPr>
                <w:rFonts w:eastAsiaTheme="minorEastAsia" w:cstheme="minorHAnsi"/>
                <w:color w:val="000000" w:themeColor="text1"/>
              </w:rPr>
              <w:t>prod</w:t>
            </w:r>
            <w:proofErr w:type="spellEnd"/>
            <w:r w:rsidRPr="008761D9">
              <w:rPr>
                <w:rFonts w:eastAsiaTheme="minorEastAsia" w:cstheme="minorHAnsi"/>
                <w:color w:val="000000" w:themeColor="text1"/>
              </w:rPr>
              <w:t>. 2020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contextualSpacing/>
              <w:rPr>
                <w:rFonts w:eastAsiaTheme="minorEastAsia" w:cstheme="minorHAnsi"/>
                <w:color w:val="000000" w:themeColor="text1"/>
              </w:rPr>
            </w:pPr>
            <w:r w:rsidRPr="008761D9">
              <w:rPr>
                <w:rFonts w:eastAsiaTheme="minorEastAsia" w:cstheme="minorHAnsi"/>
                <w:color w:val="000000" w:themeColor="text1"/>
              </w:rPr>
              <w:t>Kolor zabudowy biały z zielonymi ramkami i szarym elementem odwłoka, zgodny z kolorystyką taboru w posiadaniu zamawiającego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Pojemność zabudowy skrzyniowej jednokomorowej – minimum 19 m3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Zabudowa skrzyniowa – jednokomorowa z urządzeniem załadowczym tylnym przystosowana do zbiórki i transportu stałych odpadów gromadzonych w pojemnikach komunalnych, surowców wtórnych i odpadów wielkogabarytowych oraz BIO-odpadów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Wzmocniony mechanizm zgniatania odpadów o stopniu zagęszczenia min. 6:1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Urządzenie załadowcze tylne przystosowane do współpracy z pojemnikami o pojemności od 120 do 1100 litrów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Urządzenie załadowcze typu otwartego zgodne z normą PN – EN 840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Krawędź zasypu poniżej 1090 mm,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Płynna regulacja podnoszenia i opuszczania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Mechanizm otwierania półokrągłej klapy pojemnika 1100 l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Listwa do otwierania pojemników z gumowym amortyzatorem wstrząsów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Skrzynia ładunkowa wykonana z jednolitych blach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Wzmocnione Ściany zabudowy wykonane ze stali wysokogatunkowej Fe510 grubość stali minimum 4 mm oraz wzmocniona podłoga o grubości minimum 6 mm.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Minimum jedna klapa rewizyjna - serwisowa pozwalające na łatwy dostęp do konserwacji.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Zbiorniki na odcieki minimum 2 szt. o pojemności min. 80 litrów każdy lub 1 zbiornik o pojemnośc160 litrów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Podłoga zbiornika wykonane ze stali wysoko gatunkowej i trudnościeralnej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Hardox</w:t>
            </w:r>
            <w:proofErr w:type="spellEnd"/>
            <w:r w:rsidRPr="008761D9">
              <w:rPr>
                <w:rFonts w:cstheme="minorHAnsi"/>
                <w:color w:val="000000" w:themeColor="text1"/>
              </w:rPr>
              <w:t xml:space="preserve"> minimum HB 400 lub równoważnej innego producenta grubość stali minimum 6 mm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Rura odpływowa z instalacją na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Bio</w:t>
            </w:r>
            <w:proofErr w:type="spellEnd"/>
            <w:r w:rsidRPr="008761D9">
              <w:rPr>
                <w:rFonts w:cstheme="minorHAnsi"/>
                <w:color w:val="000000" w:themeColor="text1"/>
              </w:rPr>
              <w:t xml:space="preserve"> odcieki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Wanna zasypowa wyposażona w króciec odpływowy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Objętość kosza zasypowego minimum 2,5 m3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Wzmocniona podłoga urządzenia zasypowego wykonana ze stali o twardości min HB400 i grubości minimum 8 mm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Przyciski systemu podnoszenia pojemników po obu stronach odwłoka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Przyciski kontroli zgniotu na obu stronach odwłoka (start, stop, bezpieczeństwo)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Możliwość sterowania płytą wypychającą (wysuwanie i wsuwanie) ze stanowiska na zewnątrz pojazdu z boku odwłoka lub z kabiny kierowcy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Możliwość sterowania mechanizmem załadowczym w cyklu automatycznym, ciągłym oraz pojedynczym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Prowadnice płyty wypychającej umieszczone na ścianach zabudowy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Uszczelka zamontowana dookoła płyty wypychającej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Możliwość wysunięcia płyty wypychającej poza skrzynię ładunkową celem dokładnego oczyszczenia skrzyni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Układ otrzepywania pojemników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Układ uwalniania zakleszczonych przedmiotów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Mechanizm zgniatania liniowo – płytowy (szufladowy)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Możliwość ręcznego sterowania cyklem zgniatania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Oświetlenie zgodne z obowiązującymi przepisami prawa: światła hamowania, postojowe, kierunkowskazy oraz światło alarmowe LED typu „kogut” z tyłu pojazdu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Reflektor LED roboczy z tyłu po obu stronach zabudowy – 2 szt.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Pasy odblaskowe (ostrzegawcze) na ścianach bocznych i odwłoku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Boczne osłony przeciw najazdowe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Dwa składane stopnie wraz z czujnikami automatycznie informującymi kierowcę o tym który stopień jest zajęty oraz dającymi możliwość:</w:t>
            </w:r>
          </w:p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- redukowania prędkości do 30 km/h,</w:t>
            </w:r>
          </w:p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- uniemożliwienia manewru cofania pojazdu,</w:t>
            </w:r>
          </w:p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- rozłączenia układu ugniatania.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Uchwyty dla załogi korzystającej ze stopni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Zabezpieczenie przed wjechaniem pod pojazd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System centralnego smarowania zabudowy i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wrzutnika</w:t>
            </w:r>
            <w:proofErr w:type="spellEnd"/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Przystawka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odsilnikowa</w:t>
            </w:r>
            <w:proofErr w:type="spellEnd"/>
            <w:r w:rsidRPr="008761D9">
              <w:rPr>
                <w:rFonts w:cstheme="minorHAnsi"/>
                <w:color w:val="000000" w:themeColor="text1"/>
              </w:rPr>
              <w:t xml:space="preserve"> odbioru mocy dla pojazdów trzyosiowych PTO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Możliwość zmiany ciśnienia (stopnia zagęszczenia) w układzie hydraulicznym- wariant: surowce wtórne, odpady zielone. Regulacja ciśnienia w kabinie kierowcy w 3 poziomach lub od 0 do 100%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Dwa manometry ciśnienia oleju hydraulicznego lub ciśnienie oleju hydraulicznego wskazywane jest na wyświetlaczu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panela</w:t>
            </w:r>
            <w:proofErr w:type="spellEnd"/>
            <w:r w:rsidRPr="008761D9">
              <w:rPr>
                <w:rFonts w:cstheme="minorHAnsi"/>
                <w:color w:val="000000" w:themeColor="text1"/>
              </w:rPr>
              <w:t xml:space="preserve"> sterującego.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Kamera cofania umieszczona z tyłu zabudowy z ekranem minimum7 cali umieszczonym w kabinie kierowcy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Zabudowa wielokrotnie gruntowana i lakierowana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Zabudowa powinna odpowiadać wytycznym 2006/42/WE, normie PN-EN 1501-1: 2011 oraz posiadać znak CE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Błotniki kół tylnych z chlapaczami oraz matami przeciwrozbryzgowymi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Odwłok wyposażony w zabezpieczenie mechaniczne przed jego opadnięciem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Uchwyt na szufelkę i miotłę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Urządzenia wrzutowe przygotowane do instalacji systemu identyfikacji. Grzebień urządzenia załadowczego fabrycznie dostosowany pod montaż/instalację anten RFID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Pojazdy wyposażone w złącze systemowe, dostarczające do systemu identyfikacji RFID sygnały informujące o:</w:t>
            </w:r>
          </w:p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- otwarciu odwłoka</w:t>
            </w:r>
          </w:p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- górnym położeniu </w:t>
            </w:r>
            <w:proofErr w:type="spellStart"/>
            <w:r w:rsidRPr="008761D9">
              <w:rPr>
                <w:rFonts w:cstheme="minorHAnsi"/>
                <w:color w:val="000000" w:themeColor="text1"/>
              </w:rPr>
              <w:t>wrzutnika</w:t>
            </w:r>
            <w:proofErr w:type="spellEnd"/>
            <w:r w:rsidRPr="008761D9">
              <w:rPr>
                <w:rFonts w:cstheme="minorHAnsi"/>
                <w:color w:val="000000" w:themeColor="text1"/>
              </w:rPr>
              <w:t xml:space="preserve"> i jego pracy</w:t>
            </w:r>
          </w:p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- załączonej pompie przystawki mocy</w:t>
            </w:r>
          </w:p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 xml:space="preserve">- wysuniętej ścianie w zabudowie pojazdu   </w:t>
            </w:r>
          </w:p>
        </w:tc>
      </w:tr>
      <w:tr w:rsidR="008761D9" w:rsidRPr="008761D9" w:rsidTr="008761D9">
        <w:trPr>
          <w:cantSplit/>
        </w:trPr>
        <w:tc>
          <w:tcPr>
            <w:tcW w:w="544" w:type="pct"/>
          </w:tcPr>
          <w:p w:rsidR="008761D9" w:rsidRPr="008761D9" w:rsidRDefault="008761D9" w:rsidP="008761D9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Theme="minorEastAsia" w:cstheme="minorHAnsi"/>
                <w:color w:val="000000" w:themeColor="text1"/>
                <w:sz w:val="24"/>
              </w:rPr>
            </w:pPr>
          </w:p>
        </w:tc>
        <w:tc>
          <w:tcPr>
            <w:tcW w:w="4456" w:type="pct"/>
          </w:tcPr>
          <w:p w:rsidR="008761D9" w:rsidRPr="008761D9" w:rsidRDefault="008761D9" w:rsidP="008761D9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8761D9">
              <w:rPr>
                <w:rFonts w:cstheme="minorHAnsi"/>
                <w:color w:val="000000" w:themeColor="text1"/>
              </w:rPr>
              <w:t>Wzmocniona belka na odwłoku zabudowy, nieulegająca wygięciu przy załadunku odpadów wielkogabarytowych</w:t>
            </w:r>
          </w:p>
        </w:tc>
      </w:tr>
    </w:tbl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3. Okres rękojmi r</w:t>
      </w:r>
      <w:r w:rsidR="00C66531">
        <w:rPr>
          <w:rFonts w:ascii="Calibri" w:eastAsia="Times New Roman" w:hAnsi="Calibri" w:cs="Times New Roman"/>
          <w:lang w:eastAsia="ar-SA"/>
        </w:rPr>
        <w:t>ówny okresowi gwarancji jakości.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lastRenderedPageBreak/>
        <w:t>4. W ramach niniejszego zamówienia, w okresie gwarancji i rękojmi Wykonawca we własnym zakresie i na swój koszt (bez prawa do dodatkowego wynagrodzenia) zapewni: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wykonanie przeglądów gwarancyjnych pojazdów (w tym m. in. wymiana filtrów, oleju, przeglądy generalne zabudowy),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częstotliwość przeglądów gwarancyjnych minimum raz na rok w okresie trwania gwarancji,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pełną obsługę serwisową i realizację napraw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 xml:space="preserve"> w zakresie dokonywania wymiany części, które podczas eksploatacji pojazdów zgodnie z ich przeznaczeniem, w warunkach zgodnych z instrukcją obsługi, ulegają normalnemu zużyciu.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 xml:space="preserve">Pełen serwis pojazdów w okresie </w:t>
      </w:r>
      <w:r w:rsidR="00E73902">
        <w:rPr>
          <w:rFonts w:ascii="Calibri" w:eastAsia="Times New Roman" w:hAnsi="Calibri" w:cs="Times New Roman"/>
          <w:lang w:eastAsia="ar-SA"/>
        </w:rPr>
        <w:t>36</w:t>
      </w:r>
      <w:r w:rsidRPr="009145A2">
        <w:rPr>
          <w:rFonts w:ascii="Calibri" w:eastAsia="Times New Roman" w:hAnsi="Calibri" w:cs="Times New Roman"/>
          <w:lang w:eastAsia="ar-SA"/>
        </w:rPr>
        <w:t xml:space="preserve"> miesięcy od daty odbioru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>.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Koszty obsługi serwisowej oraz koszty napraw wraz z kosztami zakupu części zamiennych i materiałów eksploatacyjnych w okresie gwarancji i rękojmi pokrywa Wykonawca.</w:t>
      </w:r>
    </w:p>
    <w:p w:rsidR="009145A2" w:rsidRPr="009145A2" w:rsidRDefault="009145A2" w:rsidP="00AE5890">
      <w:pPr>
        <w:numPr>
          <w:ilvl w:val="0"/>
          <w:numId w:val="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 xml:space="preserve">5. Zamawiający wymaga wskazania w ofercie istniejącego na dzień jej złożenia </w:t>
      </w:r>
    </w:p>
    <w:p w:rsidR="009145A2" w:rsidRPr="009145A2" w:rsidRDefault="009145A2" w:rsidP="00AE5890">
      <w:pPr>
        <w:numPr>
          <w:ilvl w:val="0"/>
          <w:numId w:val="5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stacjonarnego serwisu (lub serwisów) podwozia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>, zlokalizowanego w odległości do 200 km od siedziby Zamawiającego</w:t>
      </w:r>
    </w:p>
    <w:p w:rsidR="009145A2" w:rsidRPr="009145A2" w:rsidRDefault="009145A2" w:rsidP="009145A2">
      <w:pPr>
        <w:suppressAutoHyphens/>
        <w:spacing w:after="0" w:line="276" w:lineRule="auto"/>
        <w:ind w:left="360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oraz</w:t>
      </w:r>
    </w:p>
    <w:p w:rsidR="009145A2" w:rsidRPr="009145A2" w:rsidRDefault="009145A2" w:rsidP="00AE5890">
      <w:pPr>
        <w:numPr>
          <w:ilvl w:val="0"/>
          <w:numId w:val="5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stacjonarnego serwisu (lub serwisów) zabudowy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>, zlokalizowanego w odległości do 200 km od siedziby Zamawiającego</w:t>
      </w:r>
    </w:p>
    <w:p w:rsidR="009145A2" w:rsidRPr="009145A2" w:rsidRDefault="009145A2" w:rsidP="009145A2">
      <w:pPr>
        <w:suppressAutoHyphens/>
        <w:spacing w:after="0" w:line="276" w:lineRule="auto"/>
        <w:ind w:left="360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posiadających techniczną możliwość przystąpienia do usuwania zgłaszanych wad, usterek w czasie do 24 godzin od momentu zgłoszenia ich wystąpienia przez Zamawiającego.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 xml:space="preserve">6. W ramach serwisu typu </w:t>
      </w:r>
      <w:proofErr w:type="spellStart"/>
      <w:r w:rsidRPr="009145A2">
        <w:rPr>
          <w:rFonts w:ascii="Calibri" w:eastAsia="Times New Roman" w:hAnsi="Calibri" w:cs="Times New Roman"/>
          <w:lang w:eastAsia="ar-SA"/>
        </w:rPr>
        <w:t>door</w:t>
      </w:r>
      <w:proofErr w:type="spellEnd"/>
      <w:r w:rsidRPr="009145A2">
        <w:rPr>
          <w:rFonts w:ascii="Calibri" w:eastAsia="Times New Roman" w:hAnsi="Calibri" w:cs="Times New Roman"/>
          <w:lang w:eastAsia="ar-SA"/>
        </w:rPr>
        <w:t>-to-</w:t>
      </w:r>
      <w:proofErr w:type="spellStart"/>
      <w:r w:rsidRPr="009145A2">
        <w:rPr>
          <w:rFonts w:ascii="Calibri" w:eastAsia="Times New Roman" w:hAnsi="Calibri" w:cs="Times New Roman"/>
          <w:lang w:eastAsia="ar-SA"/>
        </w:rPr>
        <w:t>door</w:t>
      </w:r>
      <w:proofErr w:type="spellEnd"/>
      <w:r w:rsidRPr="009145A2">
        <w:rPr>
          <w:rFonts w:ascii="Calibri" w:eastAsia="Times New Roman" w:hAnsi="Calibri" w:cs="Times New Roman"/>
          <w:lang w:eastAsia="ar-SA"/>
        </w:rPr>
        <w:t xml:space="preserve"> Wykonawca w ciągu 24 godzin od zgłoszenia zapewni transport pojazdu od Zamawiającego do wskazanego miejsca serwisu oraz w ciągu 24 godzin od usunięcia wady lub usterki dostarczy pojazd Zamawiającemu.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7. W przypadku braku możliwości dysponowania serwisem, o którym mowa w ust. 5 i 6 Wykonawca zapewni serwis mobilny posiadający techniczną możliwość przystąpienia do usuwania zgłaszanych wad, usterek w czasie do 24 godzin od momentu zgłoszenia ich wystąpienia przez Zamawiającego.</w:t>
      </w:r>
    </w:p>
    <w:p w:rsidR="009145A2" w:rsidRPr="009145A2" w:rsidRDefault="009145A2" w:rsidP="009145A2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8. Warunki dodatkowe bezwzględnie wymagane przez zamawiającego:</w:t>
      </w:r>
    </w:p>
    <w:p w:rsidR="009145A2" w:rsidRPr="009145A2" w:rsidRDefault="009145A2" w:rsidP="00AE5890">
      <w:pPr>
        <w:numPr>
          <w:ilvl w:val="0"/>
          <w:numId w:val="6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Wraz z dostawą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 xml:space="preserve"> Wykonawca dostarczy Zamawiającemu następujące dokumenty w języku polskim: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instrukcję obsługi zabudowy,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książkę gwarancyjną zabudowy,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książkę gwarancyjną podwozia,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instrukcję obsługi podwozia,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dokumenty potwierdzające dopuszczenie jednostkowe oraz badania UDT,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dokumenty pozwalające na zarejestrowanie pojazdu zgodnie z przepisami prawa,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 xml:space="preserve">oświadczenie (deklarację) CE potwierdzającą zgodność dostarczanego pojazdu </w:t>
      </w:r>
    </w:p>
    <w:p w:rsidR="009145A2" w:rsidRPr="009145A2" w:rsidRDefault="009145A2" w:rsidP="009145A2">
      <w:pPr>
        <w:suppressAutoHyphens/>
        <w:spacing w:after="0" w:line="276" w:lineRule="auto"/>
        <w:ind w:left="1134"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z normami określonymi w Opisie przedmiotu zamówienia,</w:t>
      </w:r>
    </w:p>
    <w:p w:rsidR="009145A2" w:rsidRPr="009145A2" w:rsidRDefault="009145A2" w:rsidP="00AE5890">
      <w:pPr>
        <w:numPr>
          <w:ilvl w:val="0"/>
          <w:numId w:val="7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lastRenderedPageBreak/>
        <w:t>katalog części zamiennych dla podwozia oraz zabudowy (dopuszcza się formę elektroniczną tego dokumentu).</w:t>
      </w:r>
    </w:p>
    <w:p w:rsidR="009145A2" w:rsidRPr="009145A2" w:rsidRDefault="009145A2" w:rsidP="00AE5890">
      <w:pPr>
        <w:numPr>
          <w:ilvl w:val="0"/>
          <w:numId w:val="6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9145A2">
        <w:rPr>
          <w:rFonts w:ascii="Calibri" w:eastAsia="Times New Roman" w:hAnsi="Calibri" w:cs="Times New Roman"/>
          <w:lang w:eastAsia="ar-SA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9145A2">
        <w:rPr>
          <w:rFonts w:ascii="Calibri" w:eastAsia="Times New Roman" w:hAnsi="Calibri" w:cs="Times New Roman"/>
          <w:lang w:eastAsia="ar-SA"/>
        </w:rPr>
        <w:t xml:space="preserve"> oraz zainstalowanych w ni</w:t>
      </w:r>
      <w:r w:rsidR="0083690B">
        <w:rPr>
          <w:rFonts w:ascii="Calibri" w:eastAsia="Times New Roman" w:hAnsi="Calibri" w:cs="Times New Roman"/>
          <w:lang w:eastAsia="ar-SA"/>
        </w:rPr>
        <w:t>m</w:t>
      </w:r>
      <w:r w:rsidRPr="009145A2">
        <w:rPr>
          <w:rFonts w:ascii="Calibri" w:eastAsia="Times New Roman" w:hAnsi="Calibri" w:cs="Times New Roman"/>
          <w:lang w:eastAsia="ar-SA"/>
        </w:rPr>
        <w:t xml:space="preserve"> urządzeń, co zostanie potwierdzone wydaniem stosownych imiennych certyfikatów (zaświadczeń), dokumentujących zakres przeszkolenia.</w:t>
      </w:r>
    </w:p>
    <w:p w:rsidR="009145A2" w:rsidRPr="00556C70" w:rsidRDefault="009145A2" w:rsidP="00AE58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/>
          <w:b/>
          <w:bCs/>
        </w:rPr>
      </w:pPr>
      <w:r w:rsidRPr="00556C70">
        <w:rPr>
          <w:rFonts w:ascii="Calibri" w:eastAsia="Times New Roman" w:hAnsi="Calibri" w:cs="Times New Roman"/>
          <w:lang w:eastAsia="ar-SA"/>
        </w:rPr>
        <w:t>W okresie gwarancji i rękojmi wszystkie naprawy będą się odbywać z użyciem nowych oryginalnych części, za wyjątkiem przypadków, na które Zamawiający wyrazi pisemną zgodę.</w:t>
      </w: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9145A2" w:rsidRDefault="009145A2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9145A2" w:rsidRDefault="00556C70" w:rsidP="00A0166B">
      <w:pPr>
        <w:spacing w:after="0" w:line="240" w:lineRule="auto"/>
        <w:jc w:val="both"/>
        <w:rPr>
          <w:rFonts w:ascii="Calibri" w:hAnsi="Calibri"/>
          <w:b/>
          <w:bCs/>
        </w:rPr>
      </w:pPr>
      <w:r w:rsidRPr="00556C70">
        <w:rPr>
          <w:rFonts w:ascii="Calibri" w:hAnsi="Calibri"/>
          <w:b/>
          <w:bCs/>
        </w:rPr>
        <w:t>Śmieciarka dwukomorowa trzyosiowa  - szczegółowy opis przedmiotu zamówienia:</w:t>
      </w:r>
    </w:p>
    <w:p w:rsidR="00556C70" w:rsidRPr="00556C70" w:rsidRDefault="00556C70" w:rsidP="00AE589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/>
          <w:b/>
          <w:bCs/>
        </w:rPr>
      </w:pPr>
      <w:r w:rsidRPr="00556C70">
        <w:rPr>
          <w:rFonts w:ascii="Calibri" w:hAnsi="Calibri"/>
          <w:b/>
          <w:bCs/>
        </w:rPr>
        <w:t>Podwozie:</w:t>
      </w:r>
    </w:p>
    <w:tbl>
      <w:tblPr>
        <w:tblStyle w:val="Tabela-Siatka7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Podwozie fabrycznie nowe rok produkcji – 2020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Dopuszczalna masa całkowita – minimum 26 ton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Dopuszczalna ładowność - minimum 9 ton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Norma emisji spalin: EURO 6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Silnik wysokoprężny </w:t>
            </w:r>
            <w:proofErr w:type="spellStart"/>
            <w:r w:rsidRPr="008761D9">
              <w:rPr>
                <w:rFonts w:ascii="Calibri" w:eastAsia="Times New Roman" w:hAnsi="Calibri" w:cs="Times New Roman"/>
                <w:lang w:eastAsia="ar-SA"/>
              </w:rPr>
              <w:t>Common-Rail</w:t>
            </w:r>
            <w:proofErr w:type="spellEnd"/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 o pojemności skokowej mieszczący się w przedziale 7,6 – 11,0 litra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Moc silnika min. 300 KM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Maksymalny moment obrotowy silnika - minimum 1200 </w:t>
            </w:r>
            <w:proofErr w:type="spellStart"/>
            <w:r w:rsidRPr="008761D9">
              <w:rPr>
                <w:rFonts w:ascii="Calibri" w:eastAsia="Times New Roman" w:hAnsi="Calibri" w:cs="Times New Roman"/>
                <w:lang w:eastAsia="ar-SA"/>
              </w:rPr>
              <w:t>Nm</w:t>
            </w:r>
            <w:proofErr w:type="spellEnd"/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 max 1800 </w:t>
            </w:r>
            <w:proofErr w:type="spellStart"/>
            <w:r w:rsidRPr="008761D9">
              <w:rPr>
                <w:rFonts w:ascii="Calibri" w:eastAsia="Times New Roman" w:hAnsi="Calibri" w:cs="Times New Roman"/>
                <w:lang w:eastAsia="ar-SA"/>
              </w:rPr>
              <w:t>Nm</w:t>
            </w:r>
            <w:proofErr w:type="spellEnd"/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Zautomatyzowana skrzynia biegów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Rozstaw osi między pierwszą a drugą 3800 ÷ 3900 mm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System oczyszczania spalin SCR, DPF z EGR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Filtr paliwa podgrzewany z separatorem wody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System antyblokujący ABS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System ASR i ESP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Asystent utrzymywania pojazdu na zadanym pasie ruchu lub system ostrzegania o opuszczeniu pasa ruchu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Hamulec silnikowy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Komputer pokładowy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Przednie zawieszenie resory paraboliczne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Nośność przedniego zawieszenia minimum 8 ton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Tylne zawieszenie pneumatyczne, standardowy zakres regulacji poziomu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Nośność tylnego zawieszenia minimum 18 ton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Nośność osi wleczonej/pchanej minimum 7,5 tony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Zawieszenie pneumatyczne z 3 poziomami do jazdy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Układ wspomagania kierownicy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Hamulce tarczowe standardowe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Przedni regulator hamulców elektroniczny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2 akumulatory, min 170 Ah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Zbiornik paliwa min 210 l, aluminiowy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Zbiornik </w:t>
            </w:r>
            <w:proofErr w:type="spellStart"/>
            <w:r w:rsidRPr="008761D9">
              <w:rPr>
                <w:rFonts w:ascii="Calibri" w:eastAsia="Times New Roman" w:hAnsi="Calibri" w:cs="Times New Roman"/>
                <w:lang w:eastAsia="ar-SA"/>
              </w:rPr>
              <w:t>AdBlue</w:t>
            </w:r>
            <w:proofErr w:type="spellEnd"/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 o pojemności min 30 l.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Wlew paliwa z osłoną przelewową i wkładką antykradzieżową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Dwa kliny pod koła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Skrzynka na narzędzia/worki 800mm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Boczne osłony </w:t>
            </w:r>
            <w:proofErr w:type="spellStart"/>
            <w:r w:rsidRPr="008761D9">
              <w:rPr>
                <w:rFonts w:ascii="Calibri" w:eastAsia="Times New Roman" w:hAnsi="Calibri" w:cs="Times New Roman"/>
                <w:lang w:eastAsia="ar-SA"/>
              </w:rPr>
              <w:t>przeciwnajazdowe</w:t>
            </w:r>
            <w:proofErr w:type="spellEnd"/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Lampy obrysowe z boku i z tyłu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Jeden zaczep do holowania z przodu pojazdu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Przeciwrozbryzgowe chlapacze przednie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Stalowy zbiornik powietrza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Stalowe obręcze kół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Dwustopniowy filtr powietrza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Zamknięty układ </w:t>
            </w:r>
            <w:proofErr w:type="spellStart"/>
            <w:r w:rsidRPr="008761D9">
              <w:rPr>
                <w:rFonts w:ascii="Calibri" w:eastAsia="Times New Roman" w:hAnsi="Calibri" w:cs="Times New Roman"/>
                <w:lang w:eastAsia="ar-SA"/>
              </w:rPr>
              <w:t>odpow</w:t>
            </w:r>
            <w:proofErr w:type="spellEnd"/>
            <w:r w:rsidRPr="008761D9">
              <w:rPr>
                <w:rFonts w:ascii="Calibri" w:eastAsia="Times New Roman" w:hAnsi="Calibri" w:cs="Times New Roman"/>
                <w:lang w:eastAsia="ar-SA"/>
              </w:rPr>
              <w:t>. skrzyni korbowej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Przystawka odbioru mocy spełniająca wymagania zabudowy śmieciarki / przystawka </w:t>
            </w:r>
            <w:proofErr w:type="spellStart"/>
            <w:r w:rsidRPr="008761D9">
              <w:rPr>
                <w:rFonts w:ascii="Calibri" w:eastAsia="Times New Roman" w:hAnsi="Calibri" w:cs="Times New Roman"/>
                <w:lang w:eastAsia="ar-SA"/>
              </w:rPr>
              <w:t>odsilnikowa</w:t>
            </w:r>
            <w:proofErr w:type="spellEnd"/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Gniazdo 12V + 24 V na desce rozdzielczej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Radio wraz z odtwarzaczem CD lub ze złączem USB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Wyposażenie w standardowe anteny: AM/FM, GSM i GPS oraz dodatkową antenę CB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Podgrzewane siedzenie kierowcy z zawieszeniem pneumatycznym i regulowanym odcinkiem lędźwiowym 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Ilość miejsc w kabinie 3 miejsca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Pokrowce na wszystkie siedzenia 2 komplety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Mechaniczna roleta przeciwsłoneczna przedniej szyby lub zewnętrzna przyciemniona osłona przeciwsłoneczna przedniej szyby, oraz odchylanych przysłon dla kierowcy i pasażera wewnątrz pojazdu lub uchylna osłona/klapek przeciwsłonecznych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Szyba przednia przyciemniona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Przewód do pompowania kół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Kompresor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Kompletny zestaw kluczy naprawczych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Pełnowymiarowe koło zapasowe i lewarek hydrauliczny dostosowany do pojazdu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Gaśnica – 2 szt.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Trójkąt ostrzegawczy – 2 szt.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Apteczka pierwszej pomocy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Dwa sygnały ostrzegawcze przy cofaniu</w:t>
            </w:r>
          </w:p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-sygnał dźwiękowy </w:t>
            </w:r>
          </w:p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-świetlna sygnalizacja cofania</w:t>
            </w:r>
          </w:p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-podłączenie do świateł roboczych zabudowy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Kabina kierowcy wyposażona w zabezpieczenie mechaniczne przed jej opadnięciem lub system podnoszenia i opuszczania kabiny za pomocą pompy hydraulicznej z zaworem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Pojazd wyposażony w listwę świetlną ostrzegawczą na dachu kabiny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Koło kierownicy regulowane w dwóch płaszczyznach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 xml:space="preserve">Skalibrowany Tachograf cyfrowy 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Ogranicznik prędkości do 90 km/h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Tempomat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Klimatyzacja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proofErr w:type="spellStart"/>
            <w:r w:rsidRPr="008761D9">
              <w:rPr>
                <w:rFonts w:ascii="Calibri" w:eastAsia="Times New Roman" w:hAnsi="Calibri" w:cs="Times New Roman"/>
                <w:lang w:eastAsia="ar-SA"/>
              </w:rPr>
              <w:t>Immobilizer</w:t>
            </w:r>
            <w:proofErr w:type="spellEnd"/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Elektrycznie sterowane szyby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Instrukcje w języku polskim.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Podstawowy język komunikatów dla kierowcy, polski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Gumowe dywaniki podłogowe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Kolor kabiny biały RAL 9010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Centralny zamek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Ręczne podnoszenie kabiny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Przednie zawieszenie kabiny mechaniczne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Tylne zawieszenie kabiny, mechaniczne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Lusterka zewn. el. podgrzew. i sterowane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Lusterko zewnętrzne z przodu kabiny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Osłona przeciwsłoneczna, zewnętrzna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Reflektory główne halogenowe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Światła do jazdy dziennej, diody LED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Lampy przeciwmgielne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2 pomarańczowe lampy rotacyjne w przedniej części dachu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Antena CB</w:t>
            </w:r>
          </w:p>
        </w:tc>
      </w:tr>
      <w:tr w:rsidR="008761D9" w:rsidRPr="008761D9" w:rsidTr="008761D9">
        <w:tc>
          <w:tcPr>
            <w:tcW w:w="988" w:type="dxa"/>
          </w:tcPr>
          <w:p w:rsidR="008761D9" w:rsidRPr="008761D9" w:rsidRDefault="008761D9" w:rsidP="008761D9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suppressAutoHyphens/>
              <w:spacing w:line="276" w:lineRule="auto"/>
              <w:rPr>
                <w:rFonts w:ascii="Calibri" w:eastAsia="Times New Roman" w:hAnsi="Calibri" w:cs="Times New Roman"/>
                <w:lang w:eastAsia="ar-SA"/>
              </w:rPr>
            </w:pPr>
            <w:r w:rsidRPr="008761D9">
              <w:rPr>
                <w:rFonts w:ascii="Calibri" w:eastAsia="Times New Roman" w:hAnsi="Calibri" w:cs="Times New Roman"/>
                <w:lang w:eastAsia="ar-SA"/>
              </w:rPr>
              <w:t>Dachowa belka montażowa, przednia</w:t>
            </w:r>
          </w:p>
        </w:tc>
      </w:tr>
    </w:tbl>
    <w:p w:rsidR="00556C70" w:rsidRDefault="00556C70" w:rsidP="00A0166B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556C70" w:rsidRDefault="00556C70" w:rsidP="00AE589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Zabudowa:</w:t>
      </w:r>
    </w:p>
    <w:tbl>
      <w:tblPr>
        <w:tblStyle w:val="Tabela-Siatka12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074"/>
      </w:tblGrid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Zabudowa fabrycznie nowa rok produkcji 2020 r.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Zabudowa dwukomorowa przeznaczona do zbiórki odpadów z dwoma niezależnymi urządzeniami zasypowymi tylnymi oraz dwoma niezależnie pracującymi odwłokami wykonana zgodnie z normą EN1501-1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Ściany zabudowy gładkie, bez ożebrowania i bez przetłoczeń wykonane min. z blachy stalowej na gorąco walcowanej S355MC lub innej o równoważnych lub wyższych parametrach o grubości min. 4 mm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Kolor zabudowy biały z zielonymi ramkami i szarym elementem odwłoka, zgodny z kolorystyką taboru w posiadaniu zamawiającego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Pojemność zabudowy min. 22 m3 z podziałem 30% strona węższa i 70% strona szersza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Stopień zagęszczania odpadów min 1 : 5 w obydwu komorach, płyty wypychowe pracujące niezależnie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Urządzenie załadowcze przystosowane do opróżniania pojemników od 80 do 1100 litrów zgodnie z normą EN840-1,2,3 po stronie szerszej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Czas cyklu opróżniania pojemnika 120-360 l nie może przekroczyć 8 sekund (komora szersza i węższa)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Urządzenie załadowcze przystosowane do opróżniania pojemników od 80 do 360 litrów zgodnie z normą EN840-1,2 po stronie węższej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Maksymalny czas opróżnienia pojemnika 6 sekund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Opróżnianie pojemników 1100 litrów za pomocą łap oraz na grzebieniu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Czas cyklu opróżniania pojemnika 1100 l nie może przekroczyć 12 sekund (komora szersza )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Podłoga skrzyni ładunkowej płaska wykonana ze stali </w:t>
            </w:r>
            <w:proofErr w:type="spellStart"/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Domex</w:t>
            </w:r>
            <w:proofErr w:type="spellEnd"/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650, </w:t>
            </w:r>
            <w:proofErr w:type="spellStart"/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Strenx</w:t>
            </w:r>
            <w:proofErr w:type="spellEnd"/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500 o grubości min. 4 mm lub inna stal konstrukcyjna o zbliżonych parametrach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Dno wanny zasypowej wykonane z jednego arkusza blachy ze stali min. </w:t>
            </w:r>
            <w:proofErr w:type="spellStart"/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Hardox</w:t>
            </w:r>
            <w:proofErr w:type="spellEnd"/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400 o grubości min. 8 mm, pozostałe elementy dna odwłoka wykonane ze stali </w:t>
            </w:r>
            <w:proofErr w:type="spellStart"/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Strenx</w:t>
            </w:r>
            <w:proofErr w:type="spellEnd"/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650 o grubości min. 6 mm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Podwójny niezależny system sterowania prasami zagęszczającymi. Cykl automatyczny uruchamiany za pomocą przycisków/włączników umieszczonych po obu stronach odwłoka i dodatkowo niezależny manualny tryb hydrauliczny uruchamiany za pomocą </w:t>
            </w: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dźwigni hydraulicznych bez zastosowania dodatkowej elektryki, umieszczonych po obu stronach odwłoka, pozwalający na pracę zabudowy w warunkach awarii układu elektrycznego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Obsługa urządzenia zasypowego za pomocą proporcjonalnych dźwigni hydraulicznych umieszczonych po obu stronach odwłoka bez zastosowania dodatkowej elektryki.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Siłowniki hydrauliczne umieszczone wewnątrz odwłoka zamontowane tłoczyskami do góry zapewniające załadunek odpadów w każdej pozycji prasy zagęszczającej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Czas wykonania pełnego cyklu prasy zagęszczającej – 18 sekund.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Pompa hydrauliczna o zmiennym wydatku i przepływie min 130 l/min. montowana bezpośrednio na PTO od silnika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Oświetlenie według obowiązujących przepisów: światła stop, postojowe, kierunkowskazy wykonane w technologii LED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Automatyczna regulacja obrotów silnika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Układ centralnego smarowania zabudowy na smar półpłynny. Minimum 40 punktów smarnych.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Dwa zawory kulowy w wannie załadunkowej do opróżniania odcieków min. 3”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Opróżnianie skrzyni ładunkowej z kabiny kierowcy oraz z boku zabudowy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Skrzynka sterownicza do obsługi zabudowy zamontowana w kabinie kierowcy, z funkcją załączeni a zabudowy, podnoszenia odwłoka i przesuwu płyty wypychającej za pomocą manualnych przełączników 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Płyty prasujące wewnątrz odwłoka osadzone na ślizgach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8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Odwłok posiadający automatyczne blokowanie i odblokowanie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Wysokość od podłoża do krawędzi wrzutowej odwłoka w przedziale 1700do 1800 mm dodatkowo obniżana o kolejne min. 500 mm poprzez rozkładana klapa zasypu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Minimum trzy (3) wyłączniki bezpieczeństwa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Ciśnienie robocze w układzie hydraulicznym min. 260 bar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Skrzynia ładunkowa posiadająca drzwi inspekcyjne na bocznych ścianach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Światła robocze LED i światła doświetlające boki i tył zabudowy LED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Światło błyskowe/ostrzegawcze na zabudowie pojazdu szt. 2 (przód i tył)</w:t>
            </w:r>
            <w:bookmarkStart w:id="2" w:name="page3"/>
            <w:bookmarkEnd w:id="2"/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Dwa stopnie składane dla ładowaczy wraz z czujnikami automatycznie informującymi kierowcę o tym, który stopień jest zajęty oraz dającym możliwość: ograniczenia prędkości jazdy do 30 km/h. oraz uniemożliwienia manewru cofania śmieciarki, rozłączenia układu ugniatania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Kamera wsteczna z mikrofonem i monitorem kolorowym LCD minimum 7” zamontowanym w kabinie, z głośnikami, zapewniająca łączność kabiny kierowcy ze skrzynią załadunkową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Przygotowanie pod system dynamicznego ważenia na każdej komorze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Ładowność min 8,2 ton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Zabudowa wykonana zgodnie z prawem unijnym i posiadająca znak CE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Instrukcja obsługi oraz katalog części zamiennych w języku polskim</w:t>
            </w:r>
          </w:p>
        </w:tc>
      </w:tr>
      <w:tr w:rsidR="008761D9" w:rsidRPr="008761D9" w:rsidTr="008761D9">
        <w:tc>
          <w:tcPr>
            <w:tcW w:w="993" w:type="dxa"/>
          </w:tcPr>
          <w:p w:rsidR="008761D9" w:rsidRPr="008761D9" w:rsidRDefault="008761D9" w:rsidP="007A4E93">
            <w:pPr>
              <w:numPr>
                <w:ilvl w:val="0"/>
                <w:numId w:val="21"/>
              </w:numPr>
              <w:tabs>
                <w:tab w:val="left" w:pos="78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8074" w:type="dxa"/>
          </w:tcPr>
          <w:p w:rsidR="008761D9" w:rsidRPr="008761D9" w:rsidRDefault="008761D9" w:rsidP="008761D9">
            <w:pPr>
              <w:tabs>
                <w:tab w:val="left" w:pos="78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761D9">
              <w:rPr>
                <w:rFonts w:asciiTheme="minorHAnsi" w:eastAsia="Times New Roman" w:hAnsiTheme="minorHAnsi" w:cstheme="minorHAnsi"/>
                <w:sz w:val="22"/>
                <w:szCs w:val="22"/>
              </w:rPr>
              <w:t>Homologacja na kompletny pojazd lub dopuszczenie jednostkowe</w:t>
            </w:r>
          </w:p>
        </w:tc>
      </w:tr>
    </w:tbl>
    <w:p w:rsidR="00556C70" w:rsidRPr="00556C70" w:rsidRDefault="00556C70" w:rsidP="00556C70">
      <w:pPr>
        <w:spacing w:after="0" w:line="240" w:lineRule="auto"/>
        <w:jc w:val="both"/>
        <w:rPr>
          <w:rFonts w:ascii="Calibri" w:hAnsi="Calibri"/>
          <w:b/>
          <w:bCs/>
        </w:rPr>
      </w:pP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3. Okres rękojmi równy okresowi gwarancji jakości</w:t>
      </w:r>
      <w:r w:rsidR="00706DC7">
        <w:rPr>
          <w:rFonts w:ascii="Calibri" w:eastAsia="Times New Roman" w:hAnsi="Calibri" w:cs="Times New Roman"/>
          <w:lang w:eastAsia="ar-SA"/>
        </w:rPr>
        <w:t>.</w:t>
      </w:r>
      <w:r w:rsidRPr="00556C70">
        <w:rPr>
          <w:rFonts w:ascii="Calibri" w:eastAsia="Times New Roman" w:hAnsi="Calibri" w:cs="Times New Roman"/>
          <w:lang w:eastAsia="ar-SA"/>
        </w:rPr>
        <w:t xml:space="preserve"> 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4. W ramach niniejszego zamówienia, w okresie gwarancji i rękojmi Wykonawca we własnym zakresie i na swój koszt (bez prawa do dodatkowego wynagrodzenia) zapewni: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wykonanie przeglądów gwarancyjnych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 xml:space="preserve"> (w tym m. in. wymiana filtrów, oleju, przeglądy generalne zabudowy),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częstotliwość przeglądów gwarancyjnych minimum raz na rok w okresie trwania gwarancji,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lastRenderedPageBreak/>
        <w:t>pełną obsługę serwisową i realizację napraw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 xml:space="preserve"> w zakresie dokonywania wymiany części, które podczas eksploatacji pojazdów zgodnie z ich przeznaczeniem, w warunkach zgodnych z instrukcją obsługi, ulegają normalnemu zużyciu.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 xml:space="preserve">Pełen serwis pojazdów w okresie </w:t>
      </w:r>
      <w:r w:rsidR="00706DC7">
        <w:rPr>
          <w:rFonts w:ascii="Calibri" w:eastAsia="Times New Roman" w:hAnsi="Calibri" w:cs="Times New Roman"/>
          <w:lang w:eastAsia="ar-SA"/>
        </w:rPr>
        <w:t>36</w:t>
      </w:r>
      <w:r w:rsidRPr="00556C70">
        <w:rPr>
          <w:rFonts w:ascii="Calibri" w:eastAsia="Times New Roman" w:hAnsi="Calibri" w:cs="Times New Roman"/>
          <w:lang w:eastAsia="ar-SA"/>
        </w:rPr>
        <w:t xml:space="preserve"> miesięcy od daty odbioru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>.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Koszty obsługi serwisowej oraz koszty napraw wraz z kosztami zakupu części zamiennych i materiałów eksploatacyjnych w okresie gwarancji i rękojmi pokrywa Wykonawca.</w:t>
      </w:r>
    </w:p>
    <w:p w:rsidR="00556C70" w:rsidRPr="00556C70" w:rsidRDefault="00556C70" w:rsidP="00AE589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Wykonawca zobowiązany jest do usunięcia wady, usterki na własny koszt w terminie nie dłuższym niż 7 dni licząc od daty zgłoszenia jej wystąpienia przez Zamawiającego. 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 xml:space="preserve">5. Zamawiający wymaga wskazania w ofercie istniejącego na dzień jej złożenia </w:t>
      </w:r>
    </w:p>
    <w:p w:rsidR="00556C70" w:rsidRPr="00556C70" w:rsidRDefault="00556C70" w:rsidP="00AE5890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stacjonarnego serwisu (lub serwisów) podwozia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>, zlokalizowanego w odległości do 200 km od siedziby Zamawiającego</w:t>
      </w:r>
    </w:p>
    <w:p w:rsidR="00556C70" w:rsidRPr="00556C70" w:rsidRDefault="00556C70" w:rsidP="00556C70">
      <w:pPr>
        <w:suppressAutoHyphens/>
        <w:spacing w:after="0" w:line="276" w:lineRule="auto"/>
        <w:ind w:left="360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oraz</w:t>
      </w:r>
    </w:p>
    <w:p w:rsidR="00556C70" w:rsidRPr="00556C70" w:rsidRDefault="00556C70" w:rsidP="00AE5890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stacjonarnego serwisu (lub serwisów) zabudowy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>, zlokalizowanego w odległości do 200 km od siedziby Zamawiającego</w:t>
      </w:r>
    </w:p>
    <w:p w:rsidR="00556C70" w:rsidRPr="00556C70" w:rsidRDefault="00556C70" w:rsidP="00556C70">
      <w:pPr>
        <w:suppressAutoHyphens/>
        <w:spacing w:after="0" w:line="276" w:lineRule="auto"/>
        <w:ind w:left="360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posiadających techniczną możliwość przystąpienia do usuwania zgłaszanych wad, usterek w czasie do 24 godzin od momentu zgłoszenia ich wystąpienia przez Zamawiającego.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 xml:space="preserve">6. W ramach serwisu typu </w:t>
      </w:r>
      <w:proofErr w:type="spellStart"/>
      <w:r w:rsidRPr="00556C70">
        <w:rPr>
          <w:rFonts w:ascii="Calibri" w:eastAsia="Times New Roman" w:hAnsi="Calibri" w:cs="Times New Roman"/>
          <w:lang w:eastAsia="ar-SA"/>
        </w:rPr>
        <w:t>door</w:t>
      </w:r>
      <w:proofErr w:type="spellEnd"/>
      <w:r w:rsidRPr="00556C70">
        <w:rPr>
          <w:rFonts w:ascii="Calibri" w:eastAsia="Times New Roman" w:hAnsi="Calibri" w:cs="Times New Roman"/>
          <w:lang w:eastAsia="ar-SA"/>
        </w:rPr>
        <w:t>-to-</w:t>
      </w:r>
      <w:proofErr w:type="spellStart"/>
      <w:r w:rsidRPr="00556C70">
        <w:rPr>
          <w:rFonts w:ascii="Calibri" w:eastAsia="Times New Roman" w:hAnsi="Calibri" w:cs="Times New Roman"/>
          <w:lang w:eastAsia="ar-SA"/>
        </w:rPr>
        <w:t>door</w:t>
      </w:r>
      <w:proofErr w:type="spellEnd"/>
      <w:r w:rsidRPr="00556C70">
        <w:rPr>
          <w:rFonts w:ascii="Calibri" w:eastAsia="Times New Roman" w:hAnsi="Calibri" w:cs="Times New Roman"/>
          <w:lang w:eastAsia="ar-SA"/>
        </w:rPr>
        <w:t xml:space="preserve"> Wykonawca w ciągu 24 godzin od zgłoszenia zapewni transport pojazdu od Zamawiającego do wskazanego miejsca serwisu oraz w ciągu 24 godzin od usunięcia wady lub usterki dostarczy pojazd Zamawiającemu.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7. W przypadku braku możliwości dysponowania serwisem, o którym mowa w ust. 5 i 6 Wykonawca zapewni serwis mobilny posiadający techniczną możliwość przystąpienia do usuwania zgłaszanych wad, usterek w czasie do 24 godzin od momentu zgłoszenia ich wystąpienia przez Zamawiającego.</w:t>
      </w:r>
    </w:p>
    <w:p w:rsidR="00556C70" w:rsidRPr="00556C70" w:rsidRDefault="00556C70" w:rsidP="00556C70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8. Warunki dodatkowe bezwzględnie wymagane przez zamawiającego:</w:t>
      </w:r>
    </w:p>
    <w:p w:rsidR="00556C70" w:rsidRPr="00556C70" w:rsidRDefault="00556C70" w:rsidP="00AE5890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Wraz z dostawą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 xml:space="preserve"> Wykonawca dostarczy Zamawiającemu następujące dokumenty w języku polskim:</w:t>
      </w:r>
    </w:p>
    <w:p w:rsidR="00556C70" w:rsidRPr="00556C70" w:rsidRDefault="00556C70" w:rsidP="00AE5890">
      <w:pPr>
        <w:numPr>
          <w:ilvl w:val="0"/>
          <w:numId w:val="15"/>
        </w:numPr>
        <w:tabs>
          <w:tab w:val="left" w:pos="1134"/>
        </w:tabs>
        <w:suppressAutoHyphens/>
        <w:spacing w:after="0" w:line="276" w:lineRule="auto"/>
        <w:ind w:hanging="11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instrukcję obsługi zabudowy,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książkę gwarancyjną zabudowy,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książkę gwarancyjną podwozia,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instrukcję obsługi podwozia,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dokumenty potwierdzające dopuszczenie jednostkowe oraz badania UDT,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dokumenty pozwalające na zarejestrowanie pojazdu zgodnie z przepisami prawa,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 xml:space="preserve">oświadczenie (deklarację) CE potwierdzającą zgodność dostarczanego pojazdu </w:t>
      </w:r>
    </w:p>
    <w:p w:rsidR="00556C70" w:rsidRPr="00556C70" w:rsidRDefault="00556C70" w:rsidP="00556C70">
      <w:pPr>
        <w:suppressAutoHyphens/>
        <w:spacing w:after="0" w:line="276" w:lineRule="auto"/>
        <w:ind w:left="1134"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z normami określonymi w Opisie przedmiotu zamówienia,</w:t>
      </w:r>
    </w:p>
    <w:p w:rsidR="00556C70" w:rsidRPr="00556C70" w:rsidRDefault="00556C70" w:rsidP="00AE5890">
      <w:pPr>
        <w:numPr>
          <w:ilvl w:val="0"/>
          <w:numId w:val="15"/>
        </w:numPr>
        <w:suppressAutoHyphens/>
        <w:spacing w:after="0" w:line="276" w:lineRule="auto"/>
        <w:ind w:left="1134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katalog części zamiennych dla podwozia oraz zabudowy (dopuszcza się formę elektroniczną tego dokumentu).</w:t>
      </w:r>
    </w:p>
    <w:p w:rsidR="00556C70" w:rsidRPr="00556C70" w:rsidRDefault="00556C70" w:rsidP="00AE5890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83690B">
        <w:rPr>
          <w:rFonts w:ascii="Calibri" w:eastAsia="Times New Roman" w:hAnsi="Calibri" w:cs="Times New Roman"/>
          <w:lang w:eastAsia="ar-SA"/>
        </w:rPr>
        <w:t>u</w:t>
      </w:r>
      <w:r w:rsidRPr="00556C70">
        <w:rPr>
          <w:rFonts w:ascii="Calibri" w:eastAsia="Times New Roman" w:hAnsi="Calibri" w:cs="Times New Roman"/>
          <w:lang w:eastAsia="ar-SA"/>
        </w:rPr>
        <w:t xml:space="preserve"> oraz zainstalowanych w ni</w:t>
      </w:r>
      <w:r w:rsidR="0083690B">
        <w:rPr>
          <w:rFonts w:ascii="Calibri" w:eastAsia="Times New Roman" w:hAnsi="Calibri" w:cs="Times New Roman"/>
          <w:lang w:eastAsia="ar-SA"/>
        </w:rPr>
        <w:t>m</w:t>
      </w:r>
      <w:bookmarkStart w:id="3" w:name="_GoBack"/>
      <w:bookmarkEnd w:id="3"/>
      <w:r w:rsidRPr="00556C70">
        <w:rPr>
          <w:rFonts w:ascii="Calibri" w:eastAsia="Times New Roman" w:hAnsi="Calibri" w:cs="Times New Roman"/>
          <w:lang w:eastAsia="ar-SA"/>
        </w:rPr>
        <w:t xml:space="preserve"> urządzeń, </w:t>
      </w:r>
      <w:r w:rsidRPr="00556C70">
        <w:rPr>
          <w:rFonts w:ascii="Calibri" w:eastAsia="Times New Roman" w:hAnsi="Calibri" w:cs="Times New Roman"/>
          <w:lang w:eastAsia="ar-SA"/>
        </w:rPr>
        <w:lastRenderedPageBreak/>
        <w:t>co zostanie potwierdzone wydaniem stosownych imiennych certyfikatów (zaświadczeń), dokumentujących zakres przeszkolenia.</w:t>
      </w:r>
    </w:p>
    <w:p w:rsidR="00556C70" w:rsidRPr="00556C70" w:rsidRDefault="00556C70" w:rsidP="00AE5890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lang w:eastAsia="ar-SA"/>
        </w:rPr>
      </w:pPr>
      <w:r w:rsidRPr="00556C70">
        <w:rPr>
          <w:rFonts w:ascii="Calibri" w:eastAsia="Times New Roman" w:hAnsi="Calibri" w:cs="Times New Roman"/>
          <w:lang w:eastAsia="ar-SA"/>
        </w:rPr>
        <w:t>W okresie gwarancji i rękojmi wszystkie naprawy będą się odbywać z użyciem nowych oryginalnych części, za wyjątkiem przypadków, na które Zamawiający wyrazi pisemną zgodę.</w:t>
      </w:r>
    </w:p>
    <w:p w:rsidR="009145A2" w:rsidRPr="00D67FD1" w:rsidRDefault="009145A2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3AA1" w:rsidRPr="00D67FD1" w:rsidRDefault="00853AA1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:rsidR="00DA5EB5" w:rsidRPr="00D67FD1" w:rsidRDefault="00DA5EB5" w:rsidP="00DD3DD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DA5EB5" w:rsidRPr="00D67FD1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C72" w:rsidRDefault="009A7C72" w:rsidP="00FF7C24">
      <w:pPr>
        <w:spacing w:after="0" w:line="240" w:lineRule="auto"/>
      </w:pPr>
      <w:r>
        <w:separator/>
      </w:r>
    </w:p>
  </w:endnote>
  <w:endnote w:type="continuationSeparator" w:id="0">
    <w:p w:rsidR="009A7C72" w:rsidRDefault="009A7C72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Content>
      <w:p w:rsidR="008761D9" w:rsidRDefault="008761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90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761D9" w:rsidRDefault="0087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C72" w:rsidRDefault="009A7C72" w:rsidP="00FF7C24">
      <w:pPr>
        <w:spacing w:after="0" w:line="240" w:lineRule="auto"/>
      </w:pPr>
      <w:r>
        <w:separator/>
      </w:r>
    </w:p>
  </w:footnote>
  <w:footnote w:type="continuationSeparator" w:id="0">
    <w:p w:rsidR="009A7C72" w:rsidRDefault="009A7C72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C8E"/>
    <w:multiLevelType w:val="hybridMultilevel"/>
    <w:tmpl w:val="356CD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9630A4"/>
    <w:multiLevelType w:val="hybridMultilevel"/>
    <w:tmpl w:val="47E46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2719"/>
    <w:multiLevelType w:val="hybridMultilevel"/>
    <w:tmpl w:val="42F04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05BB"/>
    <w:multiLevelType w:val="hybridMultilevel"/>
    <w:tmpl w:val="08200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727F"/>
    <w:multiLevelType w:val="hybridMultilevel"/>
    <w:tmpl w:val="821AC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3EC7"/>
    <w:multiLevelType w:val="hybridMultilevel"/>
    <w:tmpl w:val="3690A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2AC"/>
    <w:multiLevelType w:val="hybridMultilevel"/>
    <w:tmpl w:val="7A906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A4945"/>
    <w:multiLevelType w:val="hybridMultilevel"/>
    <w:tmpl w:val="35CAC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F6756"/>
    <w:multiLevelType w:val="hybridMultilevel"/>
    <w:tmpl w:val="5D2E0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B1773"/>
    <w:multiLevelType w:val="hybridMultilevel"/>
    <w:tmpl w:val="42F04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5375"/>
    <w:multiLevelType w:val="hybridMultilevel"/>
    <w:tmpl w:val="DEBC7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93340"/>
    <w:multiLevelType w:val="hybridMultilevel"/>
    <w:tmpl w:val="B686E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AB1"/>
    <w:multiLevelType w:val="hybridMultilevel"/>
    <w:tmpl w:val="B0262808"/>
    <w:lvl w:ilvl="0" w:tplc="817E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77A15"/>
    <w:multiLevelType w:val="hybridMultilevel"/>
    <w:tmpl w:val="7D189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5447A"/>
    <w:multiLevelType w:val="hybridMultilevel"/>
    <w:tmpl w:val="AD82E53C"/>
    <w:lvl w:ilvl="0" w:tplc="C974E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30965"/>
    <w:multiLevelType w:val="hybridMultilevel"/>
    <w:tmpl w:val="7D189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175F"/>
    <w:multiLevelType w:val="hybridMultilevel"/>
    <w:tmpl w:val="AD82E53C"/>
    <w:lvl w:ilvl="0" w:tplc="C974E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20" w15:restartNumberingAfterBreak="0">
    <w:nsid w:val="6F6C5889"/>
    <w:multiLevelType w:val="hybridMultilevel"/>
    <w:tmpl w:val="3690A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E1759"/>
    <w:multiLevelType w:val="hybridMultilevel"/>
    <w:tmpl w:val="6D7E05EE"/>
    <w:lvl w:ilvl="0" w:tplc="F0742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7"/>
  </w:num>
  <w:num w:numId="5">
    <w:abstractNumId w:val="17"/>
  </w:num>
  <w:num w:numId="6">
    <w:abstractNumId w:val="16"/>
  </w:num>
  <w:num w:numId="7">
    <w:abstractNumId w:val="3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20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10"/>
  </w:num>
  <w:num w:numId="18">
    <w:abstractNumId w:val="5"/>
  </w:num>
  <w:num w:numId="19">
    <w:abstractNumId w:val="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2"/>
    <w:rsid w:val="0000240C"/>
    <w:rsid w:val="0000710C"/>
    <w:rsid w:val="00027A0C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90DD9"/>
    <w:rsid w:val="00090E61"/>
    <w:rsid w:val="00097256"/>
    <w:rsid w:val="000A695C"/>
    <w:rsid w:val="000B462B"/>
    <w:rsid w:val="000B5155"/>
    <w:rsid w:val="000C648D"/>
    <w:rsid w:val="000D4E0E"/>
    <w:rsid w:val="000F37C5"/>
    <w:rsid w:val="00112C16"/>
    <w:rsid w:val="00122804"/>
    <w:rsid w:val="00145D47"/>
    <w:rsid w:val="0017538C"/>
    <w:rsid w:val="0018462B"/>
    <w:rsid w:val="00185A40"/>
    <w:rsid w:val="001926BB"/>
    <w:rsid w:val="001953DC"/>
    <w:rsid w:val="00196705"/>
    <w:rsid w:val="001B16D1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24FFF"/>
    <w:rsid w:val="00330EC1"/>
    <w:rsid w:val="0033178B"/>
    <w:rsid w:val="003425BC"/>
    <w:rsid w:val="003624BC"/>
    <w:rsid w:val="003714FC"/>
    <w:rsid w:val="00374735"/>
    <w:rsid w:val="00374C81"/>
    <w:rsid w:val="00380CCC"/>
    <w:rsid w:val="00390D38"/>
    <w:rsid w:val="0039120F"/>
    <w:rsid w:val="00394F3D"/>
    <w:rsid w:val="00397FB0"/>
    <w:rsid w:val="003A158D"/>
    <w:rsid w:val="003A5D6A"/>
    <w:rsid w:val="003B1D66"/>
    <w:rsid w:val="003D598C"/>
    <w:rsid w:val="003F3BC2"/>
    <w:rsid w:val="003F568B"/>
    <w:rsid w:val="003F6596"/>
    <w:rsid w:val="00400872"/>
    <w:rsid w:val="004053A4"/>
    <w:rsid w:val="00413CC0"/>
    <w:rsid w:val="0042218E"/>
    <w:rsid w:val="0043400B"/>
    <w:rsid w:val="00435B50"/>
    <w:rsid w:val="004478F5"/>
    <w:rsid w:val="00447A44"/>
    <w:rsid w:val="00452E67"/>
    <w:rsid w:val="0046488A"/>
    <w:rsid w:val="004676C7"/>
    <w:rsid w:val="004862E1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40138"/>
    <w:rsid w:val="005500F3"/>
    <w:rsid w:val="00556C70"/>
    <w:rsid w:val="00565D9A"/>
    <w:rsid w:val="00576289"/>
    <w:rsid w:val="00580769"/>
    <w:rsid w:val="0058291D"/>
    <w:rsid w:val="005951FF"/>
    <w:rsid w:val="005A43C0"/>
    <w:rsid w:val="005B202A"/>
    <w:rsid w:val="005B6688"/>
    <w:rsid w:val="005D068B"/>
    <w:rsid w:val="005D5744"/>
    <w:rsid w:val="005E424E"/>
    <w:rsid w:val="005E7C46"/>
    <w:rsid w:val="005F0CD7"/>
    <w:rsid w:val="005F3D8B"/>
    <w:rsid w:val="005F4FEB"/>
    <w:rsid w:val="005F64AD"/>
    <w:rsid w:val="00601D55"/>
    <w:rsid w:val="00604156"/>
    <w:rsid w:val="00612E5C"/>
    <w:rsid w:val="0063315A"/>
    <w:rsid w:val="00643774"/>
    <w:rsid w:val="0064491E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E12"/>
    <w:rsid w:val="006E65A8"/>
    <w:rsid w:val="006F49EE"/>
    <w:rsid w:val="006F7299"/>
    <w:rsid w:val="0070432E"/>
    <w:rsid w:val="00706DC7"/>
    <w:rsid w:val="007141F8"/>
    <w:rsid w:val="00724AD1"/>
    <w:rsid w:val="00742192"/>
    <w:rsid w:val="007428A1"/>
    <w:rsid w:val="00746CAA"/>
    <w:rsid w:val="00755FCB"/>
    <w:rsid w:val="00760DF4"/>
    <w:rsid w:val="007677FE"/>
    <w:rsid w:val="007707FB"/>
    <w:rsid w:val="0077134A"/>
    <w:rsid w:val="00773EAA"/>
    <w:rsid w:val="00776B27"/>
    <w:rsid w:val="00784486"/>
    <w:rsid w:val="0079278A"/>
    <w:rsid w:val="00792BBE"/>
    <w:rsid w:val="007A1429"/>
    <w:rsid w:val="007A4E93"/>
    <w:rsid w:val="007B3F7D"/>
    <w:rsid w:val="007B7B6B"/>
    <w:rsid w:val="007E5F73"/>
    <w:rsid w:val="0080138E"/>
    <w:rsid w:val="008071F9"/>
    <w:rsid w:val="00812B2B"/>
    <w:rsid w:val="00813D3B"/>
    <w:rsid w:val="008249C9"/>
    <w:rsid w:val="0083690B"/>
    <w:rsid w:val="00841D18"/>
    <w:rsid w:val="00847D0C"/>
    <w:rsid w:val="0085001A"/>
    <w:rsid w:val="00852C85"/>
    <w:rsid w:val="00853AA1"/>
    <w:rsid w:val="008622EE"/>
    <w:rsid w:val="00864489"/>
    <w:rsid w:val="00865A54"/>
    <w:rsid w:val="00865F0D"/>
    <w:rsid w:val="008761D9"/>
    <w:rsid w:val="00884D9C"/>
    <w:rsid w:val="008A15D8"/>
    <w:rsid w:val="008B7B53"/>
    <w:rsid w:val="008D2D67"/>
    <w:rsid w:val="008D56B8"/>
    <w:rsid w:val="008E02D8"/>
    <w:rsid w:val="008E1E78"/>
    <w:rsid w:val="008E44E4"/>
    <w:rsid w:val="008F14A3"/>
    <w:rsid w:val="008F2354"/>
    <w:rsid w:val="009003E1"/>
    <w:rsid w:val="009035E6"/>
    <w:rsid w:val="00904E11"/>
    <w:rsid w:val="00905574"/>
    <w:rsid w:val="00911DB5"/>
    <w:rsid w:val="00914133"/>
    <w:rsid w:val="009145A2"/>
    <w:rsid w:val="00920511"/>
    <w:rsid w:val="00921C9D"/>
    <w:rsid w:val="00962298"/>
    <w:rsid w:val="00965607"/>
    <w:rsid w:val="009973C8"/>
    <w:rsid w:val="009A3933"/>
    <w:rsid w:val="009A3F51"/>
    <w:rsid w:val="009A7C72"/>
    <w:rsid w:val="009C1CCA"/>
    <w:rsid w:val="009C2790"/>
    <w:rsid w:val="009D021F"/>
    <w:rsid w:val="009D0F2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4391C"/>
    <w:rsid w:val="00A46D3E"/>
    <w:rsid w:val="00A528B0"/>
    <w:rsid w:val="00A57A9B"/>
    <w:rsid w:val="00A63086"/>
    <w:rsid w:val="00A828BE"/>
    <w:rsid w:val="00A856F0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5890"/>
    <w:rsid w:val="00AE6654"/>
    <w:rsid w:val="00AF0040"/>
    <w:rsid w:val="00AF3C1A"/>
    <w:rsid w:val="00AF42C2"/>
    <w:rsid w:val="00AF4910"/>
    <w:rsid w:val="00AF51B3"/>
    <w:rsid w:val="00AF6264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878EC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50C30"/>
    <w:rsid w:val="00C62BD0"/>
    <w:rsid w:val="00C63B76"/>
    <w:rsid w:val="00C63EC0"/>
    <w:rsid w:val="00C64B06"/>
    <w:rsid w:val="00C66531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E2AFE"/>
    <w:rsid w:val="00CE5E2C"/>
    <w:rsid w:val="00CE69A3"/>
    <w:rsid w:val="00CF28EF"/>
    <w:rsid w:val="00CF7AF6"/>
    <w:rsid w:val="00D034A1"/>
    <w:rsid w:val="00D110DD"/>
    <w:rsid w:val="00D16550"/>
    <w:rsid w:val="00D169C1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63998"/>
    <w:rsid w:val="00D66456"/>
    <w:rsid w:val="00D67FD1"/>
    <w:rsid w:val="00D73302"/>
    <w:rsid w:val="00D75486"/>
    <w:rsid w:val="00D93182"/>
    <w:rsid w:val="00D93F41"/>
    <w:rsid w:val="00D951E3"/>
    <w:rsid w:val="00DA14D4"/>
    <w:rsid w:val="00DA5EB5"/>
    <w:rsid w:val="00DC1796"/>
    <w:rsid w:val="00DC6E44"/>
    <w:rsid w:val="00DD3DDD"/>
    <w:rsid w:val="00DD5222"/>
    <w:rsid w:val="00DE0A66"/>
    <w:rsid w:val="00DE2113"/>
    <w:rsid w:val="00E20AA2"/>
    <w:rsid w:val="00E21599"/>
    <w:rsid w:val="00E24E4D"/>
    <w:rsid w:val="00E36423"/>
    <w:rsid w:val="00E40EBC"/>
    <w:rsid w:val="00E45AD5"/>
    <w:rsid w:val="00E60DCD"/>
    <w:rsid w:val="00E66EB0"/>
    <w:rsid w:val="00E6744F"/>
    <w:rsid w:val="00E73902"/>
    <w:rsid w:val="00E77762"/>
    <w:rsid w:val="00E86945"/>
    <w:rsid w:val="00E91C92"/>
    <w:rsid w:val="00E97C2D"/>
    <w:rsid w:val="00EA5CFB"/>
    <w:rsid w:val="00EC4AB0"/>
    <w:rsid w:val="00EC5B0A"/>
    <w:rsid w:val="00EC7CC2"/>
    <w:rsid w:val="00ED0C54"/>
    <w:rsid w:val="00ED573B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506BE"/>
    <w:rsid w:val="00F63984"/>
    <w:rsid w:val="00F6742A"/>
    <w:rsid w:val="00F7103A"/>
    <w:rsid w:val="00F74A23"/>
    <w:rsid w:val="00F77616"/>
    <w:rsid w:val="00F8152F"/>
    <w:rsid w:val="00F91D7F"/>
    <w:rsid w:val="00FA23DB"/>
    <w:rsid w:val="00FB45C9"/>
    <w:rsid w:val="00FB487E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2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table" w:customStyle="1" w:styleId="Tabela-Siatka1">
    <w:name w:val="Tabela - Siatka1"/>
    <w:basedOn w:val="Standardowy"/>
    <w:next w:val="Tabela-Siatka"/>
    <w:uiPriority w:val="39"/>
    <w:rsid w:val="0091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1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5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5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24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7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7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7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876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E359-8BAA-4B14-9614-2CC24D11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3693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2020-01-17T08:47:00Z</cp:lastPrinted>
  <dcterms:created xsi:type="dcterms:W3CDTF">2019-05-09T08:35:00Z</dcterms:created>
  <dcterms:modified xsi:type="dcterms:W3CDTF">2020-01-28T10:15:00Z</dcterms:modified>
</cp:coreProperties>
</file>